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368F" w:rsidRDefault="0003368F" w:rsidP="0003368F">
      <w:pPr>
        <w:spacing w:after="240"/>
        <w:jc w:val="both"/>
        <w:rPr>
          <w:rFonts w:ascii="Arial" w:eastAsia="Arial" w:hAnsi="Arial" w:cs="Arial"/>
          <w:b/>
          <w:sz w:val="28"/>
          <w:szCs w:val="28"/>
        </w:rPr>
      </w:pPr>
      <w:r>
        <w:rPr>
          <w:rFonts w:ascii="Arial" w:eastAsia="Arial" w:hAnsi="Arial" w:cs="Arial"/>
          <w:b/>
          <w:sz w:val="28"/>
          <w:szCs w:val="28"/>
        </w:rPr>
        <w:t>Supplementary Data</w:t>
      </w:r>
    </w:p>
    <w:p w:rsidR="0003368F" w:rsidRDefault="0003368F" w:rsidP="0003368F">
      <w:pPr>
        <w:spacing w:after="240"/>
        <w:jc w:val="both"/>
        <w:rPr>
          <w:rFonts w:ascii="Arial" w:eastAsia="Arial" w:hAnsi="Arial" w:cs="Arial"/>
          <w:b/>
        </w:rPr>
      </w:pPr>
    </w:p>
    <w:p w:rsidR="0003368F" w:rsidRDefault="0003368F" w:rsidP="0003368F">
      <w:pPr>
        <w:spacing w:after="240"/>
        <w:jc w:val="both"/>
        <w:rPr>
          <w:rFonts w:ascii="Arial" w:eastAsia="Arial" w:hAnsi="Arial" w:cs="Arial"/>
        </w:rPr>
      </w:pPr>
      <w:r>
        <w:rPr>
          <w:rFonts w:ascii="Arial" w:eastAsia="Arial" w:hAnsi="Arial" w:cs="Arial"/>
        </w:rPr>
        <w:t xml:space="preserve">The statistical analysis of Figure </w:t>
      </w:r>
      <w:r w:rsidR="00845D28">
        <w:rPr>
          <w:rFonts w:ascii="Arial" w:eastAsia="Arial" w:hAnsi="Arial" w:cs="Arial"/>
        </w:rPr>
        <w:t>5</w:t>
      </w:r>
      <w:r>
        <w:rPr>
          <w:rFonts w:ascii="Arial" w:eastAsia="Arial" w:hAnsi="Arial" w:cs="Arial"/>
        </w:rPr>
        <w:t xml:space="preserve"> (4 </w:t>
      </w:r>
      <w:r w:rsidR="00845D28">
        <w:rPr>
          <w:rFonts w:ascii="Arial" w:eastAsia="Arial" w:hAnsi="Arial" w:cs="Arial"/>
        </w:rPr>
        <w:t>rind penetration</w:t>
      </w:r>
      <w:bookmarkStart w:id="0" w:name="_GoBack"/>
      <w:bookmarkEnd w:id="0"/>
      <w:r>
        <w:rPr>
          <w:rFonts w:ascii="Arial" w:eastAsia="Arial" w:hAnsi="Arial" w:cs="Arial"/>
        </w:rPr>
        <w:t xml:space="preserve"> metrics) was based on the paired nature of the data. With one R</w:t>
      </w:r>
      <w:r>
        <w:rPr>
          <w:rFonts w:ascii="Arial" w:eastAsia="Arial" w:hAnsi="Arial" w:cs="Arial"/>
          <w:vertAlign w:val="superscript"/>
        </w:rPr>
        <w:t>2</w:t>
      </w:r>
      <w:r>
        <w:rPr>
          <w:rFonts w:ascii="Arial" w:eastAsia="Arial" w:hAnsi="Arial" w:cs="Arial"/>
        </w:rPr>
        <w:t xml:space="preserve"> value for each location/metric pair, 10 locations, and four RPR metrics, the full data set was a 10x4 array of R</w:t>
      </w:r>
      <w:r>
        <w:rPr>
          <w:rFonts w:ascii="Arial" w:eastAsia="Arial" w:hAnsi="Arial" w:cs="Arial"/>
          <w:vertAlign w:val="superscript"/>
        </w:rPr>
        <w:t>2</w:t>
      </w:r>
      <w:r>
        <w:rPr>
          <w:rFonts w:ascii="Arial" w:eastAsia="Arial" w:hAnsi="Arial" w:cs="Arial"/>
        </w:rPr>
        <w:t xml:space="preserve"> values. The mean value for each location was calculated, and the difference of each individual R</w:t>
      </w:r>
      <w:r>
        <w:rPr>
          <w:rFonts w:ascii="Arial" w:eastAsia="Arial" w:hAnsi="Arial" w:cs="Arial"/>
          <w:vertAlign w:val="superscript"/>
        </w:rPr>
        <w:t>2</w:t>
      </w:r>
      <w:r>
        <w:rPr>
          <w:rFonts w:ascii="Arial" w:eastAsia="Arial" w:hAnsi="Arial" w:cs="Arial"/>
        </w:rPr>
        <w:t xml:space="preserve"> value from the location mean was calculated. This produced a corresponding 10x4 array of differences from location means. Both the original and difference arrays are provided below. </w:t>
      </w:r>
    </w:p>
    <w:p w:rsidR="0003368F" w:rsidRDefault="0003368F" w:rsidP="0003368F">
      <w:pPr>
        <w:spacing w:after="240"/>
        <w:jc w:val="both"/>
        <w:rPr>
          <w:rFonts w:ascii="Arial" w:eastAsia="Arial" w:hAnsi="Arial" w:cs="Arial"/>
        </w:rPr>
      </w:pPr>
      <w:r>
        <w:rPr>
          <w:rFonts w:ascii="Arial" w:eastAsia="Arial" w:hAnsi="Arial" w:cs="Arial"/>
          <w:noProof/>
        </w:rPr>
        <w:drawing>
          <wp:inline distT="114300" distB="114300" distL="114300" distR="114300" wp14:anchorId="2A4411AB" wp14:editId="10668B8A">
            <wp:extent cx="6332220" cy="1663700"/>
            <wp:effectExtent l="0" t="0" r="0" b="0"/>
            <wp:docPr id="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
                    <a:srcRect/>
                    <a:stretch>
                      <a:fillRect/>
                    </a:stretch>
                  </pic:blipFill>
                  <pic:spPr>
                    <a:xfrm>
                      <a:off x="0" y="0"/>
                      <a:ext cx="6332220" cy="1663700"/>
                    </a:xfrm>
                    <a:prstGeom prst="rect">
                      <a:avLst/>
                    </a:prstGeom>
                    <a:ln/>
                  </pic:spPr>
                </pic:pic>
              </a:graphicData>
            </a:graphic>
          </wp:inline>
        </w:drawing>
      </w:r>
    </w:p>
    <w:p w:rsidR="0003368F" w:rsidRDefault="0003368F" w:rsidP="0003368F">
      <w:pPr>
        <w:spacing w:after="240"/>
        <w:jc w:val="both"/>
        <w:rPr>
          <w:rFonts w:ascii="Arial" w:eastAsia="Arial" w:hAnsi="Arial" w:cs="Arial"/>
        </w:rPr>
      </w:pPr>
      <w:r>
        <w:rPr>
          <w:rFonts w:ascii="Arial" w:eastAsia="Arial" w:hAnsi="Arial" w:cs="Arial"/>
        </w:rPr>
        <w:t>Confidence intervals were computed based on a two-sided t-test at the 95% level using the differences array. These confidence intervals were then overlaid on the mean values from the original data set, thus illustrating the average values in context along with the confidence intervals from the paired analysis.</w:t>
      </w:r>
    </w:p>
    <w:p w:rsidR="00B41A00" w:rsidRDefault="00845D28"/>
    <w:sectPr w:rsidR="00B41A00">
      <w:pgSz w:w="12240" w:h="15840"/>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Liberation Serif">
    <w:altName w:val="Times New Roman"/>
    <w:charset w:val="00"/>
    <w:family w:val="auto"/>
    <w:pitch w:val="default"/>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68F"/>
    <w:rsid w:val="0003368F"/>
    <w:rsid w:val="00845D28"/>
    <w:rsid w:val="009D5DFF"/>
    <w:rsid w:val="00F172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355C0"/>
  <w15:chartTrackingRefBased/>
  <w15:docId w15:val="{BF3EFF7E-A85A-4E86-997E-0047F7A3A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368F"/>
    <w:pPr>
      <w:spacing w:after="0" w:line="240" w:lineRule="auto"/>
    </w:pPr>
    <w:rPr>
      <w:rFonts w:ascii="Liberation Serif" w:eastAsia="Noto Sans CJK SC" w:hAnsi="Liberation Serif" w:cs="Lohit Devanagari"/>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3368F"/>
    <w:rPr>
      <w:rFonts w:ascii="Segoe UI" w:hAnsi="Segoe UI" w:cs="Mangal"/>
      <w:sz w:val="18"/>
      <w:szCs w:val="16"/>
    </w:rPr>
  </w:style>
  <w:style w:type="character" w:customStyle="1" w:styleId="BalloonTextChar">
    <w:name w:val="Balloon Text Char"/>
    <w:basedOn w:val="DefaultParagraphFont"/>
    <w:link w:val="BalloonText"/>
    <w:uiPriority w:val="99"/>
    <w:semiHidden/>
    <w:rsid w:val="0003368F"/>
    <w:rPr>
      <w:rFonts w:ascii="Segoe UI" w:eastAsia="Noto Sans CJK SC" w:hAnsi="Segoe UI" w:cs="Mangal"/>
      <w:kern w:val="2"/>
      <w:sz w:val="18"/>
      <w:szCs w:val="16"/>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University of Idaho</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Robertson, Daniel (danieljr@uidaho.edu)</dc:creator>
  <cp:keywords/>
  <dc:description/>
  <cp:lastModifiedBy>Robertson, Daniel (danieljr@uidaho.edu)</cp:lastModifiedBy>
  <cp:revision>2</cp:revision>
  <dcterms:created xsi:type="dcterms:W3CDTF">2019-12-19T01:15:00Z</dcterms:created>
  <dcterms:modified xsi:type="dcterms:W3CDTF">2019-12-19T01:21:00Z</dcterms:modified>
</cp:coreProperties>
</file>